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D096C7">
      <w:pPr>
        <w:jc w:val="center"/>
      </w:pPr>
      <w:r>
        <w:rPr>
          <w:rFonts w:hint="eastAsia"/>
          <w:sz w:val="36"/>
          <w:szCs w:val="36"/>
        </w:rPr>
        <w:t>耗材参数要求</w:t>
      </w:r>
    </w:p>
    <w:tbl>
      <w:tblPr>
        <w:tblStyle w:val="5"/>
        <w:tblpPr w:leftFromText="180" w:rightFromText="180" w:vertAnchor="text" w:tblpX="-313" w:tblpY="273"/>
        <w:tblOverlap w:val="never"/>
        <w:tblW w:w="9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1"/>
        <w:gridCol w:w="7854"/>
      </w:tblGrid>
      <w:tr w14:paraId="40639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21" w:type="dxa"/>
            <w:noWrap/>
          </w:tcPr>
          <w:p w14:paraId="11B2BD12">
            <w:pPr>
              <w:jc w:val="center"/>
              <w:rPr>
                <w:b/>
                <w:bCs/>
                <w:sz w:val="24"/>
              </w:rPr>
            </w:pPr>
          </w:p>
          <w:p w14:paraId="229364E9">
            <w:pPr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耗材名称</w:t>
            </w:r>
          </w:p>
        </w:tc>
        <w:tc>
          <w:tcPr>
            <w:tcW w:w="7854" w:type="dxa"/>
            <w:noWrap/>
          </w:tcPr>
          <w:p w14:paraId="5C20B892">
            <w:pPr>
              <w:rPr>
                <w:b/>
                <w:bCs/>
                <w:sz w:val="24"/>
              </w:rPr>
            </w:pPr>
          </w:p>
          <w:p w14:paraId="121B0CEF">
            <w:pPr>
              <w:tabs>
                <w:tab w:val="left" w:pos="1362"/>
              </w:tabs>
              <w:ind w:firstLine="1687" w:firstLineChars="7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参    数    要    求</w:t>
            </w:r>
          </w:p>
          <w:p w14:paraId="6AD2F3AD">
            <w:pPr>
              <w:rPr>
                <w:b/>
                <w:bCs/>
                <w:sz w:val="24"/>
              </w:rPr>
            </w:pPr>
          </w:p>
          <w:p w14:paraId="65F49F0D">
            <w:pPr>
              <w:rPr>
                <w:b/>
                <w:bCs/>
                <w:sz w:val="24"/>
              </w:rPr>
            </w:pPr>
          </w:p>
        </w:tc>
      </w:tr>
      <w:tr w14:paraId="5728C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B122820">
            <w:pPr>
              <w:jc w:val="left"/>
            </w:pPr>
            <w:r>
              <w:rPr>
                <w:rFonts w:hint="eastAsia"/>
              </w:rPr>
              <w:t>Y型连接器套装</w:t>
            </w:r>
          </w:p>
        </w:tc>
        <w:tc>
          <w:tcPr>
            <w:tcW w:w="7854" w:type="dxa"/>
            <w:noWrap/>
          </w:tcPr>
          <w:p w14:paraId="2B171B32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hd w:val="clear" w:color="auto" w:fill="auto"/>
              </w:rPr>
              <w:t>适用范围：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 xml:space="preserve">用于血管介入手术中建立导管、导丝插入通路，实现术中止血、造影剂输注、药物给药操作；适配外周血管、冠脉血管等介入手术的通路建立，可与介入鞘管、导管配套使用。 </w:t>
            </w:r>
          </w:p>
          <w:p w14:paraId="6A8E8ED9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 xml:space="preserve">注册要求：具备有效第三类医疗器械注册证，注册证预期用途与上述范围一致。 </w:t>
            </w:r>
          </w:p>
          <w:p w14:paraId="0FF6AF98">
            <w:pP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hd w:val="clear" w:color="auto" w:fill="auto"/>
              </w:rPr>
              <w:t>结构与设计：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hd w:val="clear" w:color="auto" w:fill="auto"/>
                <w:lang w:val="en-US" w:eastAsia="zh-CN"/>
              </w:rPr>
              <w:t>配备密封硅胶止血阀内腔设计：主通道顺畅，可适配多规格导丝、导管顺畅通过，阻力小；侧支通路可用于给药，测压；</w:t>
            </w:r>
          </w:p>
          <w:p w14:paraId="1FAE9596">
            <w:pP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hd w:val="clear" w:color="auto" w:fill="auto"/>
              </w:rPr>
              <w:t>性能要求：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>密封性能优异，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hd w:val="clear" w:color="auto" w:fill="auto"/>
                <w:lang w:val="en-US" w:eastAsia="zh-CN"/>
              </w:rPr>
              <w:t>高压状态下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>无液体渗漏操作顺滑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hd w:val="clear" w:color="auto" w:fill="auto"/>
                <w:lang w:eastAsia="zh-CN"/>
              </w:rPr>
              <w:t>；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hd w:val="clear" w:color="auto" w:fill="auto"/>
                <w:lang w:val="en-US" w:eastAsia="zh-CN"/>
              </w:rPr>
              <w:t>器械通过顺畅无卡顿；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>结构稳固</w:t>
            </w: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hd w:val="clear" w:color="auto" w:fill="auto"/>
              </w:rPr>
              <w:t xml:space="preserve">不易弯折断裂。 </w:t>
            </w:r>
          </w:p>
          <w:p w14:paraId="649FC177">
            <w:pPr>
              <w:rPr>
                <w:rFonts w:hint="default" w:ascii="Segoe UI Emoji" w:hAnsi="Segoe UI Emoji" w:eastAsia="宋体" w:cs="Segoe UI Emoji"/>
                <w:color w:val="auto"/>
                <w:sz w:val="24"/>
                <w:lang w:val="en-US" w:eastAsia="zh-CN"/>
              </w:rPr>
            </w:pPr>
          </w:p>
        </w:tc>
      </w:tr>
      <w:tr w14:paraId="32B3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11D7F6E4">
            <w:pPr>
              <w:jc w:val="left"/>
            </w:pPr>
            <w:r>
              <w:rPr>
                <w:rFonts w:hint="eastAsia"/>
              </w:rPr>
              <w:t>按压式Y型连接器套装</w:t>
            </w:r>
          </w:p>
        </w:tc>
        <w:tc>
          <w:tcPr>
            <w:tcW w:w="7854" w:type="dxa"/>
            <w:noWrap/>
          </w:tcPr>
          <w:p w14:paraId="2BC24936">
            <w:pPr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适用范围：</w:t>
            </w:r>
            <w:r>
              <w:rPr>
                <w:rFonts w:hint="eastAsia"/>
                <w:color w:val="auto"/>
                <w:sz w:val="24"/>
              </w:rPr>
              <w:t>用于血管介入手术中建立导管、导丝插入通路，实现术中快速止血、高压造影剂输注、药物给药操作；适配外周血管、冠脉血管、神经血管等介入手术的通路建立，尤其适用于需高压注射、单手快速操作的介入场景。</w:t>
            </w:r>
          </w:p>
          <w:p w14:paraId="70CBEB01">
            <w:pPr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rFonts w:hint="eastAsia"/>
                <w:b/>
                <w:bCs/>
                <w:color w:val="auto"/>
                <w:sz w:val="24"/>
              </w:rPr>
              <w:t>注册要求：</w:t>
            </w:r>
            <w:r>
              <w:rPr>
                <w:rFonts w:hint="eastAsia"/>
                <w:color w:val="auto"/>
                <w:sz w:val="24"/>
              </w:rPr>
              <w:t>具备有效第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24"/>
              </w:rPr>
              <w:t>类医疗器械注册证，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型号匹配；厂家具备有效ISO13485医疗器械质量体系认证。</w:t>
            </w:r>
          </w:p>
          <w:p w14:paraId="798F4E23">
            <w:pPr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结构与设计：</w:t>
            </w:r>
            <w:r>
              <w:rPr>
                <w:rFonts w:hint="eastAsia"/>
                <w:color w:val="auto"/>
                <w:sz w:val="24"/>
              </w:rPr>
              <w:t xml:space="preserve"> Y型三通一体式结构，配备按压式止血阀，无需旋转操作，单手即可完成开合，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连接稳固，密封结构耐磨；尾部可360°自由旋转。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</w:p>
          <w:p w14:paraId="00646427">
            <w:pPr>
              <w:rPr>
                <w:rFonts w:hint="default" w:eastAsia="宋体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</w:rPr>
              <w:t>性能要求：</w:t>
            </w:r>
            <w:r>
              <w:rPr>
                <w:rFonts w:hint="eastAsia"/>
                <w:color w:val="auto"/>
                <w:sz w:val="24"/>
              </w:rPr>
              <w:t>密封性能优异，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整体耐受压力</w:t>
            </w:r>
            <w:r>
              <w:rPr>
                <w:rFonts w:hint="eastAsia"/>
                <w:color w:val="auto"/>
                <w:sz w:val="24"/>
                <w:szCs w:val="24"/>
              </w:rPr>
              <w:t>≥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300PSI，可满足高压造影使用，可兼容三通、延长管，满足给药、造影、压力监测拓展使用。</w:t>
            </w:r>
          </w:p>
          <w:p w14:paraId="05719A61">
            <w:pPr>
              <w:rPr>
                <w:rFonts w:hint="default" w:eastAsia="宋体"/>
                <w:color w:val="auto"/>
                <w:lang w:val="en-US" w:eastAsia="zh-CN"/>
              </w:rPr>
            </w:pPr>
          </w:p>
        </w:tc>
      </w:tr>
      <w:tr w14:paraId="3A4DF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2866F676">
            <w:pPr>
              <w:jc w:val="left"/>
              <w:rPr>
                <w:rFonts w:hint="eastAsia"/>
                <w:b/>
                <w:bCs/>
              </w:rPr>
            </w:pPr>
            <w:r>
              <w:rPr>
                <w:rFonts w:hint="eastAsia"/>
              </w:rPr>
              <w:t>动脉介入止血器套装</w:t>
            </w:r>
          </w:p>
        </w:tc>
        <w:tc>
          <w:tcPr>
            <w:tcW w:w="7854" w:type="dxa"/>
            <w:noWrap/>
          </w:tcPr>
          <w:p w14:paraId="3FA00670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用于血管介入手术（如冠脉造影、外周血管介入、神经介入等）完成后，动脉穿刺点的体外压迫止血，适配股动脉、桡动脉等常规动脉穿刺部位，可有效降低穿刺点出血、血肿风险。 </w:t>
            </w:r>
          </w:p>
          <w:p w14:paraId="557D4B16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注册要求：</w:t>
            </w:r>
            <w:r>
              <w:rPr>
                <w:rFonts w:hint="eastAsia"/>
                <w:color w:val="auto"/>
                <w:sz w:val="24"/>
                <w:szCs w:val="24"/>
              </w:rPr>
              <w:t>具备有效第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24"/>
                <w:szCs w:val="24"/>
              </w:rPr>
              <w:t>类医疗器械注册证，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注册证载明为一次性使用。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注册证预期用途与上述范围一致。 </w:t>
            </w:r>
          </w:p>
          <w:p w14:paraId="16DC69BA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螺旋式/卡扣式无级加压，压力可调节，加压垫柔软透气贴合穿刺点，绑带粘扣牢固，带有托板，可使手臂紧密贴合，防止移位；加压器带有聚-N-乙酰氨基葡萄糖生物止血材料，可快速止血，且不受体内抗凝药物影响，极大减少并发症。</w:t>
            </w:r>
          </w:p>
          <w:p w14:paraId="67C6D972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>压迫压力稳定，可根据临床需求灵活调节；固定牢固，不易移位；生物相容性好，无皮肤刺激性；操作简便，可快速完成止血操作。</w:t>
            </w:r>
          </w:p>
          <w:p w14:paraId="3404E506">
            <w:pPr>
              <w:rPr>
                <w:rFonts w:hint="default" w:eastAsia="宋体"/>
                <w:color w:val="auto"/>
                <w:lang w:val="en-US" w:eastAsia="zh-CN"/>
              </w:rPr>
            </w:pPr>
          </w:p>
        </w:tc>
      </w:tr>
      <w:tr w14:paraId="4A14F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521" w:type="dxa"/>
            <w:noWrap/>
          </w:tcPr>
          <w:p w14:paraId="3FE06A5E">
            <w:pPr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旋压式桡动脉压迫止血器</w:t>
            </w:r>
          </w:p>
        </w:tc>
        <w:tc>
          <w:tcPr>
            <w:tcW w:w="7854" w:type="dxa"/>
            <w:noWrap/>
          </w:tcPr>
          <w:p w14:paraId="55316450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专门用于经桡动脉途径的冠脉造影、PCI手术、外周血管介入等操作完成后，桡动脉穿刺点的体外压迫止血，可精准控制止血压力，降低桡动脉闭塞、出血、血肿等并发症发生率。 </w:t>
            </w:r>
          </w:p>
          <w:p w14:paraId="74608D43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</w:t>
            </w:r>
            <w:r>
              <w:rPr>
                <w:rFonts w:hint="eastAsia"/>
                <w:color w:val="auto"/>
                <w:sz w:val="24"/>
                <w:szCs w:val="24"/>
              </w:rPr>
              <w:t>：具备有效第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类医疗器械注册证，注册证预期用途与上述范围一致。 </w:t>
            </w:r>
          </w:p>
          <w:p w14:paraId="243CBC56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</w:t>
            </w:r>
            <w:r>
              <w:rPr>
                <w:rFonts w:hint="eastAsia"/>
                <w:color w:val="auto"/>
                <w:sz w:val="24"/>
                <w:szCs w:val="24"/>
              </w:rPr>
              <w:t>：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旋转微调压力，带自锁防回弹结构，透视可视支架；悬空设计，减少静脉压迫。加宽透气魔术贴绑带，适配不同腕围。</w:t>
            </w:r>
          </w:p>
          <w:p w14:paraId="70A780B4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>压力调节精准，旋压顺畅无卡顿；密封压迫效果好，无渗漏；透气亲肤，佩戴舒适度高；结构稳固，不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。</w:t>
            </w:r>
          </w:p>
        </w:tc>
      </w:tr>
      <w:tr w14:paraId="3097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521" w:type="dxa"/>
            <w:noWrap/>
          </w:tcPr>
          <w:p w14:paraId="2F33B92D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一次性使用三通旋塞</w:t>
            </w:r>
          </w:p>
        </w:tc>
        <w:tc>
          <w:tcPr>
            <w:tcW w:w="7854" w:type="dxa"/>
            <w:noWrap/>
          </w:tcPr>
          <w:p w14:paraId="37A38B0F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>用于临床输液、给药、输血、血气采样等常规操作中，实现多路输液管路的通路切换、药物输注，适配常规注射器、输液器、输血器等设备。</w:t>
            </w:r>
          </w:p>
          <w:p w14:paraId="109C0611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注册要求：</w:t>
            </w:r>
            <w:r>
              <w:rPr>
                <w:rFonts w:hint="eastAsia"/>
                <w:color w:val="auto"/>
                <w:sz w:val="24"/>
                <w:szCs w:val="24"/>
              </w:rPr>
              <w:t>具备有效第三类医疗器械注册证，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一次成性使用，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注册证预期用途与上述范围一致。 </w:t>
            </w:r>
          </w:p>
          <w:p w14:paraId="1EF28F8D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三通一体式旋塞结构，三路通路呈标准角度分布，配备带标识的旋塞开关，可实现单路/多路通路的通断控制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；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旋芯转动顺滑；独立无菌纸塑单只包装。</w:t>
            </w:r>
          </w:p>
          <w:p w14:paraId="4F15004C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密封性能优异，无液体渗漏；开关操作顺滑，通断状态标识清晰，不易出现误操作；结构稳固，耐反复弯折，不易断裂。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不含DEHP增塑剂</w:t>
            </w:r>
          </w:p>
          <w:p w14:paraId="0F4186E0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A30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B5CDDE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一次性使用压力延长管</w:t>
            </w:r>
          </w:p>
        </w:tc>
        <w:tc>
          <w:tcPr>
            <w:tcW w:w="7854" w:type="dxa"/>
            <w:noWrap/>
          </w:tcPr>
          <w:p w14:paraId="6118A28B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用于临床有创压力监测、输液、输血、造影剂输注等操作中，实现管路的延长连接，可与有创压力传感器、监护仪、输液泵、注射器、介入导管等配套使用，延长操作距离。 </w:t>
            </w:r>
          </w:p>
          <w:p w14:paraId="46832EA1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注册要求：</w:t>
            </w:r>
            <w:r>
              <w:rPr>
                <w:rFonts w:hint="eastAsia"/>
                <w:color w:val="auto"/>
                <w:sz w:val="24"/>
                <w:szCs w:val="24"/>
              </w:rPr>
              <w:t>具备有效第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类医疗器械注册证，注册证预期用途与上述范围一致。 </w:t>
            </w:r>
          </w:p>
          <w:p w14:paraId="197AB368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/>
                <w:color w:val="auto"/>
                <w:sz w:val="24"/>
                <w:szCs w:val="24"/>
              </w:rPr>
              <w:t>可实时观察管内液体流动情况；管体抗弯折、抗拉伸，不易出现扁管、断裂情况。接头设计：两端配备标准鲁尔接口，可与临床常规器械快速适配连接，连接牢固，不易脱落。提供多种长度规格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可选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30cm/60cm/90cm/120cm/150cm等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。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可选无DEHP材质管路。</w:t>
            </w:r>
          </w:p>
          <w:p w14:paraId="17653877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耐高压性能优异，无液体渗漏；管体透明度高，无气泡、杂质；生物相容性好，无溶血、无有害物质析出。 </w:t>
            </w:r>
          </w:p>
          <w:p w14:paraId="1C3FFDE3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1822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666E4421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一次性使用有创压力传感器</w:t>
            </w:r>
          </w:p>
        </w:tc>
        <w:tc>
          <w:tcPr>
            <w:tcW w:w="7854" w:type="dxa"/>
            <w:noWrap/>
          </w:tcPr>
          <w:p w14:paraId="7F91C62A">
            <w:pPr>
              <w:rPr>
                <w:rFonts w:hint="eastAsia" w:eastAsia="宋体"/>
                <w:color w:val="auto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>用于临床有创血流动力学监测，可实时监测有创动脉血压、中心静脉压、肺动脉压、左心房压等压力参数，可与监护仪、压力监测系统配套使用，为临床诊断、治疗提供精准数据支持。</w:t>
            </w:r>
            <w:r>
              <w:rPr>
                <w:rFonts w:hint="eastAsia"/>
                <w:color w:val="auto"/>
                <w:sz w:val="24"/>
                <w:szCs w:val="24"/>
                <w:highlight w:val="yellow"/>
                <w:lang w:eastAsia="zh-CN"/>
              </w:rPr>
              <w:t>（</w:t>
            </w:r>
            <w:r>
              <w:rPr>
                <w:rFonts w:hint="eastAsia"/>
                <w:color w:val="auto"/>
                <w:sz w:val="24"/>
                <w:szCs w:val="24"/>
                <w:highlight w:val="yellow"/>
                <w:lang w:val="en-US" w:eastAsia="zh-CN"/>
              </w:rPr>
              <w:t>适配日本光电监护仪</w:t>
            </w:r>
            <w:r>
              <w:rPr>
                <w:rFonts w:hint="eastAsia"/>
                <w:color w:val="auto"/>
                <w:sz w:val="24"/>
                <w:szCs w:val="24"/>
                <w:highlight w:val="yellow"/>
                <w:lang w:eastAsia="zh-CN"/>
              </w:rPr>
              <w:t>）</w:t>
            </w:r>
          </w:p>
          <w:p w14:paraId="3F4E8866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具备有效第三类医疗器械注册证，注册证预期用途与上述范围一致。 </w:t>
            </w:r>
          </w:p>
          <w:p w14:paraId="1E4C5DD7">
            <w:pPr>
              <w:rPr>
                <w:rFonts w:hint="eastAsia" w:eastAsia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结构与设计：</w:t>
            </w:r>
            <w:r>
              <w:rPr>
                <w:rFonts w:hint="eastAsia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自带单手操作冲洗装置，透明管路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/>
                <w:color w:val="auto"/>
                <w:sz w:val="24"/>
                <w:szCs w:val="24"/>
              </w:rPr>
              <w:t>可与临床监护仪、压力监测系统适配，无需额外转换接头；可与动脉管路、中心静脉管路快速连接。自带零点校准功能，操作简便，可快速完成零点校准</w:t>
            </w:r>
            <w:r>
              <w:rPr>
                <w:rFonts w:hint="eastAsia"/>
                <w:color w:val="auto"/>
                <w:sz w:val="24"/>
                <w:szCs w:val="24"/>
                <w:lang w:eastAsia="zh-CN"/>
              </w:rPr>
              <w:t>。</w:t>
            </w:r>
          </w:p>
          <w:p w14:paraId="34960178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>压力监测精度高，测量误差≤±1mmHg；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耐压满足临床有创测压工况。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响应速度快，可实时捕捉压力波形；生物相容性好，无溶血、无细胞毒性；密封性能优异，无液体渗漏。 </w:t>
            </w:r>
          </w:p>
          <w:p w14:paraId="2D9F6582">
            <w:pPr>
              <w:rPr>
                <w:color w:val="auto"/>
                <w:sz w:val="24"/>
                <w:szCs w:val="24"/>
              </w:rPr>
            </w:pPr>
          </w:p>
        </w:tc>
      </w:tr>
      <w:tr w14:paraId="67422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" w:hRule="atLeast"/>
        </w:trPr>
        <w:tc>
          <w:tcPr>
            <w:tcW w:w="1521" w:type="dxa"/>
            <w:noWrap/>
          </w:tcPr>
          <w:p w14:paraId="429846F0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一次性使用造影剂推入器</w:t>
            </w:r>
          </w:p>
        </w:tc>
        <w:tc>
          <w:tcPr>
            <w:tcW w:w="7854" w:type="dxa"/>
            <w:noWrap/>
          </w:tcPr>
          <w:p w14:paraId="5D827C5F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适用范围：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用于临床放射科、介入手术室中，造影剂的手动推注操作，适配不同规格的造影剂注射器，可用于CT造影、血管造影、消化道造影等各类造影检查与手术中，辅助医护人员完成造影剂的精准推注。 </w:t>
            </w:r>
          </w:p>
          <w:p w14:paraId="23BD9581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注册要求：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具备有效第三类医疗器械注册证，注册证预期用途与上述范围一致。 </w:t>
            </w:r>
          </w:p>
          <w:p w14:paraId="66407390">
            <w:pPr>
              <w:rPr>
                <w:rFonts w:hint="eastAsia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结构与设计：</w:t>
            </w:r>
            <w:r>
              <w:rPr>
                <w:rFonts w:hint="eastAsia"/>
                <w:color w:val="auto"/>
                <w:sz w:val="24"/>
                <w:szCs w:val="24"/>
              </w:rPr>
              <w:t>防滑手柄，操作省力，可单手完成推注操作；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连接牢固，不漏液；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配备适配不同规格注射器的固定卡槽，适配临床常规10ml、20ml、50ml等规格造影剂注射器。强度高，抗冲击，耐腐蚀，可耐受临床常规消毒操作。独立无菌包装，一次性使用，避免交叉感染。 </w:t>
            </w:r>
          </w:p>
          <w:p w14:paraId="01AEC0B7">
            <w:pPr>
              <w:rPr>
                <w:rFonts w:hint="default" w:eastAsia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</w:rPr>
              <w:t>性能要求：</w:t>
            </w:r>
            <w:r>
              <w:rPr>
                <w:rFonts w:hint="eastAsia"/>
                <w:color w:val="auto"/>
                <w:sz w:val="24"/>
                <w:szCs w:val="24"/>
              </w:rPr>
              <w:t xml:space="preserve">推注顺滑，无卡顿，可精准控制推注速度与剂量；固定牢固，注射器不易脱落；操作简便，可快速安装/拆卸注射器。 </w:t>
            </w:r>
            <w:r>
              <w:rPr>
                <w:rFonts w:hint="eastAsia"/>
                <w:color w:val="auto"/>
                <w:sz w:val="24"/>
                <w:szCs w:val="24"/>
                <w:lang w:val="en-US" w:eastAsia="zh-CN"/>
              </w:rPr>
              <w:t>微粒污染指标符合医用标准。</w:t>
            </w:r>
          </w:p>
          <w:p w14:paraId="3E6EE81E">
            <w:pPr>
              <w:rPr>
                <w:color w:val="auto"/>
                <w:sz w:val="24"/>
                <w:szCs w:val="24"/>
              </w:rPr>
            </w:pPr>
          </w:p>
        </w:tc>
      </w:tr>
    </w:tbl>
    <w:p w14:paraId="2DB07136"/>
    <w:p w14:paraId="360526CB">
      <w:pPr>
        <w:tabs>
          <w:tab w:val="left" w:pos="1378"/>
        </w:tabs>
        <w:jc w:val="left"/>
      </w:pPr>
    </w:p>
    <w:p w14:paraId="3811437D">
      <w:pPr>
        <w:tabs>
          <w:tab w:val="left" w:pos="1378"/>
        </w:tabs>
        <w:jc w:val="left"/>
      </w:pPr>
    </w:p>
    <w:p w14:paraId="7045B7A9">
      <w:pPr>
        <w:tabs>
          <w:tab w:val="left" w:pos="1378"/>
        </w:tabs>
        <w:jc w:val="left"/>
      </w:pPr>
    </w:p>
    <w:p w14:paraId="104360C9">
      <w:pPr>
        <w:tabs>
          <w:tab w:val="left" w:pos="1378"/>
        </w:tabs>
        <w:jc w:val="left"/>
      </w:pPr>
    </w:p>
    <w:p w14:paraId="03516E41">
      <w:pPr>
        <w:tabs>
          <w:tab w:val="left" w:pos="1378"/>
        </w:tabs>
        <w:jc w:val="left"/>
      </w:pPr>
    </w:p>
    <w:p w14:paraId="5FBAC367">
      <w:pPr>
        <w:tabs>
          <w:tab w:val="left" w:pos="1378"/>
        </w:tabs>
        <w:jc w:val="left"/>
      </w:pPr>
    </w:p>
    <w:p w14:paraId="40FE8C41">
      <w:pPr>
        <w:tabs>
          <w:tab w:val="left" w:pos="1378"/>
        </w:tabs>
        <w:jc w:val="left"/>
      </w:pPr>
    </w:p>
    <w:p w14:paraId="036F2C32">
      <w:pPr>
        <w:tabs>
          <w:tab w:val="left" w:pos="1378"/>
        </w:tabs>
        <w:jc w:val="left"/>
      </w:pPr>
    </w:p>
    <w:p w14:paraId="5487A81C">
      <w:pPr>
        <w:tabs>
          <w:tab w:val="left" w:pos="1378"/>
        </w:tabs>
        <w:jc w:val="left"/>
      </w:pPr>
    </w:p>
    <w:p w14:paraId="7C5AD377">
      <w:pPr>
        <w:tabs>
          <w:tab w:val="left" w:pos="1378"/>
        </w:tabs>
        <w:jc w:val="left"/>
      </w:pPr>
    </w:p>
    <w:p w14:paraId="277BA087">
      <w:pPr>
        <w:tabs>
          <w:tab w:val="left" w:pos="1378"/>
        </w:tabs>
        <w:jc w:val="left"/>
      </w:pPr>
    </w:p>
    <w:p w14:paraId="380BFFB5">
      <w:pPr>
        <w:tabs>
          <w:tab w:val="left" w:pos="1378"/>
        </w:tabs>
        <w:jc w:val="left"/>
      </w:pPr>
    </w:p>
    <w:p w14:paraId="30EA968A">
      <w:pPr>
        <w:widowControl/>
        <w:snapToGrid w:val="0"/>
        <w:jc w:val="center"/>
        <w:textAlignment w:val="center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49"/>
    <w:rsid w:val="000C2707"/>
    <w:rsid w:val="000D3749"/>
    <w:rsid w:val="000E55BB"/>
    <w:rsid w:val="001227AF"/>
    <w:rsid w:val="00152CA6"/>
    <w:rsid w:val="00154AE3"/>
    <w:rsid w:val="0016471A"/>
    <w:rsid w:val="002238E0"/>
    <w:rsid w:val="00233CC9"/>
    <w:rsid w:val="002416F4"/>
    <w:rsid w:val="0025245D"/>
    <w:rsid w:val="002A7450"/>
    <w:rsid w:val="002D47BD"/>
    <w:rsid w:val="002E1044"/>
    <w:rsid w:val="00386D9A"/>
    <w:rsid w:val="003E4E9A"/>
    <w:rsid w:val="00415641"/>
    <w:rsid w:val="00422346"/>
    <w:rsid w:val="00457F93"/>
    <w:rsid w:val="004B221B"/>
    <w:rsid w:val="004E7D7B"/>
    <w:rsid w:val="00502A84"/>
    <w:rsid w:val="005F0D83"/>
    <w:rsid w:val="00604FB8"/>
    <w:rsid w:val="006C73A5"/>
    <w:rsid w:val="006E2E40"/>
    <w:rsid w:val="008142FB"/>
    <w:rsid w:val="00844C52"/>
    <w:rsid w:val="00851F1D"/>
    <w:rsid w:val="00911391"/>
    <w:rsid w:val="009E0E07"/>
    <w:rsid w:val="00A3671B"/>
    <w:rsid w:val="00A92A1C"/>
    <w:rsid w:val="00AE2283"/>
    <w:rsid w:val="00B250B4"/>
    <w:rsid w:val="00BD24C3"/>
    <w:rsid w:val="00C00DA9"/>
    <w:rsid w:val="00C30771"/>
    <w:rsid w:val="00C86498"/>
    <w:rsid w:val="00C960EC"/>
    <w:rsid w:val="00CE2B53"/>
    <w:rsid w:val="00E11B43"/>
    <w:rsid w:val="00E75275"/>
    <w:rsid w:val="00E84730"/>
    <w:rsid w:val="00ED5667"/>
    <w:rsid w:val="00F72DF0"/>
    <w:rsid w:val="01011432"/>
    <w:rsid w:val="023D46EC"/>
    <w:rsid w:val="023F2212"/>
    <w:rsid w:val="027D2D3A"/>
    <w:rsid w:val="06905732"/>
    <w:rsid w:val="076F5347"/>
    <w:rsid w:val="08716E9D"/>
    <w:rsid w:val="09061CDB"/>
    <w:rsid w:val="094F5AFF"/>
    <w:rsid w:val="0AB15C77"/>
    <w:rsid w:val="0B0264D2"/>
    <w:rsid w:val="0BBB3E90"/>
    <w:rsid w:val="0C2D757F"/>
    <w:rsid w:val="0C653AD5"/>
    <w:rsid w:val="0C803B53"/>
    <w:rsid w:val="0CB97065"/>
    <w:rsid w:val="0D0A78C0"/>
    <w:rsid w:val="0D7C256C"/>
    <w:rsid w:val="0DBC2EB5"/>
    <w:rsid w:val="0E6A2D0C"/>
    <w:rsid w:val="0EF71510"/>
    <w:rsid w:val="0F0F7410"/>
    <w:rsid w:val="0FB0474F"/>
    <w:rsid w:val="103224FF"/>
    <w:rsid w:val="10B71B0D"/>
    <w:rsid w:val="11363E73"/>
    <w:rsid w:val="13AE5449"/>
    <w:rsid w:val="142741A0"/>
    <w:rsid w:val="1534197E"/>
    <w:rsid w:val="158965FB"/>
    <w:rsid w:val="15A20FDE"/>
    <w:rsid w:val="15C90318"/>
    <w:rsid w:val="173619DD"/>
    <w:rsid w:val="17BE19D3"/>
    <w:rsid w:val="18A87573"/>
    <w:rsid w:val="19AA220F"/>
    <w:rsid w:val="19E21500"/>
    <w:rsid w:val="1A023DF9"/>
    <w:rsid w:val="1A204BC7"/>
    <w:rsid w:val="1AF000F5"/>
    <w:rsid w:val="1B5468D6"/>
    <w:rsid w:val="1C4A1A87"/>
    <w:rsid w:val="1CB17D58"/>
    <w:rsid w:val="1D217B7E"/>
    <w:rsid w:val="1F0D7CBA"/>
    <w:rsid w:val="21642706"/>
    <w:rsid w:val="22916662"/>
    <w:rsid w:val="22CC31F6"/>
    <w:rsid w:val="22CF718A"/>
    <w:rsid w:val="23810484"/>
    <w:rsid w:val="24C34ACD"/>
    <w:rsid w:val="26125671"/>
    <w:rsid w:val="262D7EE2"/>
    <w:rsid w:val="26527EB6"/>
    <w:rsid w:val="2725698F"/>
    <w:rsid w:val="2811164F"/>
    <w:rsid w:val="285B3DB4"/>
    <w:rsid w:val="2A6B1335"/>
    <w:rsid w:val="2B0E29C3"/>
    <w:rsid w:val="2B487ADA"/>
    <w:rsid w:val="2BD801F0"/>
    <w:rsid w:val="2BDD5034"/>
    <w:rsid w:val="2D300E58"/>
    <w:rsid w:val="2D430559"/>
    <w:rsid w:val="2DE74F53"/>
    <w:rsid w:val="2ED40002"/>
    <w:rsid w:val="31D576B9"/>
    <w:rsid w:val="32537490"/>
    <w:rsid w:val="33A45AC9"/>
    <w:rsid w:val="34CB752E"/>
    <w:rsid w:val="34E63346"/>
    <w:rsid w:val="35F8082A"/>
    <w:rsid w:val="363B0967"/>
    <w:rsid w:val="3776777C"/>
    <w:rsid w:val="37D7646D"/>
    <w:rsid w:val="385308F6"/>
    <w:rsid w:val="38926838"/>
    <w:rsid w:val="3A241712"/>
    <w:rsid w:val="3C011D0B"/>
    <w:rsid w:val="3C096E11"/>
    <w:rsid w:val="3D073351"/>
    <w:rsid w:val="3E2F15A7"/>
    <w:rsid w:val="3E7D4DED"/>
    <w:rsid w:val="3E8F7AA2"/>
    <w:rsid w:val="3EF142B8"/>
    <w:rsid w:val="3F5B283D"/>
    <w:rsid w:val="3F967024"/>
    <w:rsid w:val="40E43F34"/>
    <w:rsid w:val="41006A35"/>
    <w:rsid w:val="41646408"/>
    <w:rsid w:val="41A56458"/>
    <w:rsid w:val="4269060A"/>
    <w:rsid w:val="42AE426E"/>
    <w:rsid w:val="438C05CB"/>
    <w:rsid w:val="44C4421D"/>
    <w:rsid w:val="45294080"/>
    <w:rsid w:val="45701CAF"/>
    <w:rsid w:val="45FA4CD3"/>
    <w:rsid w:val="460C5E7C"/>
    <w:rsid w:val="46803E3B"/>
    <w:rsid w:val="47253F6A"/>
    <w:rsid w:val="472B40E0"/>
    <w:rsid w:val="478C7274"/>
    <w:rsid w:val="488639D8"/>
    <w:rsid w:val="48B36B28"/>
    <w:rsid w:val="4A673681"/>
    <w:rsid w:val="4AB740A8"/>
    <w:rsid w:val="4B314C4B"/>
    <w:rsid w:val="4BE40D01"/>
    <w:rsid w:val="4CA824C2"/>
    <w:rsid w:val="4D8207D1"/>
    <w:rsid w:val="4DE56B5B"/>
    <w:rsid w:val="4E3917D8"/>
    <w:rsid w:val="4E6974F8"/>
    <w:rsid w:val="4E741D89"/>
    <w:rsid w:val="4EBC7D13"/>
    <w:rsid w:val="4EC72940"/>
    <w:rsid w:val="4F2C4E99"/>
    <w:rsid w:val="4FF754A7"/>
    <w:rsid w:val="52344548"/>
    <w:rsid w:val="532E5683"/>
    <w:rsid w:val="53852DC9"/>
    <w:rsid w:val="5405404C"/>
    <w:rsid w:val="555962BC"/>
    <w:rsid w:val="56223DB6"/>
    <w:rsid w:val="57FC460C"/>
    <w:rsid w:val="57FD3849"/>
    <w:rsid w:val="59684D1F"/>
    <w:rsid w:val="59CF2A46"/>
    <w:rsid w:val="5A380B96"/>
    <w:rsid w:val="5A420BD3"/>
    <w:rsid w:val="5A582FE6"/>
    <w:rsid w:val="5AD14B46"/>
    <w:rsid w:val="5C180C7F"/>
    <w:rsid w:val="5DCE6D0F"/>
    <w:rsid w:val="5F3833E6"/>
    <w:rsid w:val="5F950838"/>
    <w:rsid w:val="5FE37E01"/>
    <w:rsid w:val="61B72CE8"/>
    <w:rsid w:val="61BA4586"/>
    <w:rsid w:val="61FC694D"/>
    <w:rsid w:val="623F0EEA"/>
    <w:rsid w:val="629B7F14"/>
    <w:rsid w:val="62C625A1"/>
    <w:rsid w:val="62F6339C"/>
    <w:rsid w:val="635D341B"/>
    <w:rsid w:val="636F0861"/>
    <w:rsid w:val="64801BB2"/>
    <w:rsid w:val="65E120E1"/>
    <w:rsid w:val="666A0329"/>
    <w:rsid w:val="670C13E0"/>
    <w:rsid w:val="67575F74"/>
    <w:rsid w:val="67BB4BB4"/>
    <w:rsid w:val="67D1201A"/>
    <w:rsid w:val="68752FB5"/>
    <w:rsid w:val="689B4E44"/>
    <w:rsid w:val="690A5DF3"/>
    <w:rsid w:val="69186BA4"/>
    <w:rsid w:val="69B33D95"/>
    <w:rsid w:val="6A1A2066"/>
    <w:rsid w:val="6A592558"/>
    <w:rsid w:val="6A8D2838"/>
    <w:rsid w:val="6C383234"/>
    <w:rsid w:val="6E2C1915"/>
    <w:rsid w:val="6EE3336E"/>
    <w:rsid w:val="6F55769C"/>
    <w:rsid w:val="6FF15617"/>
    <w:rsid w:val="71C068BF"/>
    <w:rsid w:val="721F290F"/>
    <w:rsid w:val="730E028E"/>
    <w:rsid w:val="7327134F"/>
    <w:rsid w:val="73BD67E5"/>
    <w:rsid w:val="73BF2329"/>
    <w:rsid w:val="74122000"/>
    <w:rsid w:val="74A470FC"/>
    <w:rsid w:val="75B07D22"/>
    <w:rsid w:val="77FD03D6"/>
    <w:rsid w:val="782E6183"/>
    <w:rsid w:val="7883527A"/>
    <w:rsid w:val="78CA4C57"/>
    <w:rsid w:val="795120C2"/>
    <w:rsid w:val="7A3A5E0C"/>
    <w:rsid w:val="7A4E40BC"/>
    <w:rsid w:val="7AA65250"/>
    <w:rsid w:val="7B0A3A31"/>
    <w:rsid w:val="7B0B6F7E"/>
    <w:rsid w:val="7C120DEF"/>
    <w:rsid w:val="7C3F595C"/>
    <w:rsid w:val="7CCC5441"/>
    <w:rsid w:val="7D1666BD"/>
    <w:rsid w:val="7D2A03BA"/>
    <w:rsid w:val="7D410DDC"/>
    <w:rsid w:val="7D515947"/>
    <w:rsid w:val="7DBA25B4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脚 Char"/>
    <w:basedOn w:val="7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2380</Words>
  <Characters>2443</Characters>
  <Lines>8</Lines>
  <Paragraphs>2</Paragraphs>
  <TotalTime>135</TotalTime>
  <ScaleCrop>false</ScaleCrop>
  <LinksUpToDate>false</LinksUpToDate>
  <CharactersWithSpaces>2479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2026-04-01T01:33:00Z</dcterms:created>
  <dc:creator>Administrator</dc:creator>
  <cp:lastModifiedBy>ljq57</cp:lastModifiedBy>
  <dcterms:modified xsi:type="dcterms:W3CDTF">2026-07-10T03:20:12Z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eyJoZGlkIjoiOTRlZjU5NjA5MGQ4YmUwMDNiMjUzYmQ0ZjNlNjQ3Y2QiLCJ1c2VySWQiOiIyMzY2ODI3NjMifQ==</vt:lpwstr>
  </property>
  <property fmtid="{D5CDD505-2E9C-101B-9397-08002B2CF9AE}" pid="4" name="ICV">
    <vt:lpwstr>59B8FB2F52B64705BF0A80F029E3F3A2_13</vt:lpwstr>
  </property>
</Properties>
</file>