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4"/>
        <w:tblpPr w:leftFromText="180" w:rightFromText="180" w:vertAnchor="text" w:tblpX="-313" w:tblpY="273"/>
        <w:tblOverlap w:val="never"/>
        <w:tblW w:w="9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029" w:type="dxa"/>
            <w:noWrap/>
            <w:vAlign w:val="top"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  <w:vAlign w:val="top"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205" w:firstLineChars="5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1DC5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2029" w:type="dxa"/>
            <w:noWrap/>
            <w:vAlign w:val="top"/>
          </w:tcPr>
          <w:p w14:paraId="4E4A4AF0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一次性射频等离子手术电极</w:t>
            </w:r>
          </w:p>
          <w:p w14:paraId="70E16683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（医保编码C14040100500000）</w:t>
            </w:r>
          </w:p>
        </w:tc>
        <w:tc>
          <w:tcPr>
            <w:tcW w:w="7854" w:type="dxa"/>
            <w:noWrap/>
            <w:vAlign w:val="top"/>
          </w:tcPr>
          <w:p w14:paraId="246A0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规格型号：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微创通用款（刀型、钨针型）</w:t>
            </w:r>
          </w:p>
          <w:p w14:paraId="5E9C17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适用范围</w:t>
            </w:r>
            <w:r>
              <w:rPr>
                <w:color w:val="000000"/>
                <w:sz w:val="24"/>
                <w:szCs w:val="24"/>
              </w:rPr>
              <w:t>：</w:t>
            </w:r>
            <w:r>
              <w:rPr>
                <w:rFonts w:hint="eastAsia"/>
                <w:color w:val="000000"/>
                <w:sz w:val="24"/>
                <w:szCs w:val="24"/>
              </w:rPr>
              <w:t>与高频手术设备配合使用，供临床外科手术中对组织实施切割、分离、凝固。</w:t>
            </w:r>
          </w:p>
          <w:p w14:paraId="2F42C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Segoe UI Emoji" w:hAnsi="Segoe UI Emoji" w:cs="Segoe UI Emoj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产品类型</w:t>
            </w:r>
            <w:r>
              <w:rPr>
                <w:color w:val="000000"/>
                <w:sz w:val="24"/>
                <w:szCs w:val="24"/>
              </w:rPr>
              <w:t>：</w:t>
            </w:r>
            <w:r>
              <w:rPr>
                <w:rStyle w:val="7"/>
                <w:b w:val="0"/>
                <w:bCs w:val="0"/>
                <w:color w:val="000000"/>
                <w:sz w:val="24"/>
                <w:szCs w:val="24"/>
              </w:rPr>
              <w:t>一次性、无菌、</w:t>
            </w:r>
            <w:r>
              <w:rPr>
                <w:rStyle w:val="7"/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单</w:t>
            </w:r>
            <w:r>
              <w:rPr>
                <w:rStyle w:val="7"/>
                <w:b w:val="0"/>
                <w:bCs w:val="0"/>
                <w:color w:val="000000"/>
                <w:sz w:val="24"/>
                <w:szCs w:val="24"/>
              </w:rPr>
              <w:t>极射频等离子电极</w:t>
            </w:r>
            <w:r>
              <w:rPr>
                <w:color w:val="000000"/>
                <w:sz w:val="24"/>
                <w:szCs w:val="24"/>
              </w:rPr>
              <w:t>，低温工作（40℃～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color w:val="000000"/>
                <w:sz w:val="24"/>
                <w:szCs w:val="24"/>
              </w:rPr>
              <w:t>0℃），对周围组织热损伤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小。</w:t>
            </w:r>
          </w:p>
          <w:p w14:paraId="3B07F1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主机适配</w:t>
            </w:r>
            <w:r>
              <w:rPr>
                <w:color w:val="000000"/>
                <w:sz w:val="24"/>
                <w:szCs w:val="24"/>
              </w:rPr>
              <w:t>：可匹配主流射频等离子主机</w:t>
            </w:r>
            <w:r>
              <w:rPr>
                <w:rFonts w:hint="eastAsia"/>
                <w:color w:val="000000"/>
                <w:sz w:val="24"/>
                <w:szCs w:val="24"/>
              </w:rPr>
              <w:t>或者高频手术设备</w:t>
            </w:r>
          </w:p>
          <w:p w14:paraId="32668A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接口标准：标准三孔接头，插拔顺畅、接触可靠</w:t>
            </w:r>
            <w:r>
              <w:rPr>
                <w:color w:val="000000"/>
                <w:sz w:val="24"/>
                <w:szCs w:val="24"/>
              </w:rPr>
              <w:t>，接口通用或提供转接头；</w:t>
            </w:r>
          </w:p>
          <w:p w14:paraId="7083C2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Style w:val="7"/>
                <w:b/>
                <w:bCs/>
                <w:color w:val="000000"/>
                <w:sz w:val="24"/>
                <w:szCs w:val="24"/>
              </w:rPr>
              <w:t>接口标准</w:t>
            </w:r>
            <w:r>
              <w:rPr>
                <w:color w:val="000000"/>
                <w:sz w:val="24"/>
                <w:szCs w:val="24"/>
              </w:rPr>
              <w:t>：插拔顺畅、接触可靠。</w:t>
            </w:r>
            <w:bookmarkStart w:id="0" w:name="_GoBack"/>
            <w:bookmarkEnd w:id="0"/>
          </w:p>
          <w:p w14:paraId="4A244DEA">
            <w:pPr>
              <w:rPr>
                <w:rFonts w:hint="default"/>
                <w:lang w:val="en-US" w:eastAsia="zh-CN"/>
              </w:rPr>
            </w:pP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2029" w:type="dxa"/>
            <w:noWrap/>
            <w:vAlign w:val="top"/>
          </w:tcPr>
          <w:p w14:paraId="4B122820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一次性使用神经阻滞穿刺针</w:t>
            </w:r>
          </w:p>
        </w:tc>
        <w:tc>
          <w:tcPr>
            <w:tcW w:w="7854" w:type="dxa"/>
            <w:noWrap/>
            <w:vAlign w:val="top"/>
          </w:tcPr>
          <w:p w14:paraId="301912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72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：针身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22G/23G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，有效长度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80～100mm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，满足臀部深部梨状肌穿刺给药</w:t>
            </w:r>
          </w:p>
          <w:p w14:paraId="18F4DB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72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针管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：医用不锈钢，管壁光滑，柔韧性好，可微调角度贴合解剖层次</w:t>
            </w:r>
          </w:p>
          <w:p w14:paraId="44F53C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72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针身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带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深度刻度标识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，清晰耐磨，精准控制进针深度</w:t>
            </w:r>
          </w:p>
          <w:p w14:paraId="074C28E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72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针尖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：斜角打磨，穿刺阻力小，减少软组织损伤，给药通畅</w:t>
            </w:r>
          </w:p>
          <w:p w14:paraId="142A06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72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适配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：通用注射器接口，适用于梨状肌阻滞、软组织封闭、深部肌肉注射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无菌独立包装</w:t>
            </w:r>
          </w:p>
          <w:p w14:paraId="6B22BA2D">
            <w:pPr>
              <w:rPr>
                <w:rFonts w:hint="eastAsia" w:eastAsia="宋体"/>
                <w:b/>
                <w:bCs/>
                <w:lang w:eastAsia="zh-CN"/>
              </w:rPr>
            </w:pPr>
          </w:p>
        </w:tc>
      </w:tr>
      <w:tr w14:paraId="32B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2029" w:type="dxa"/>
            <w:shd w:val="clear" w:color="auto" w:fill="auto"/>
            <w:noWrap/>
            <w:vAlign w:val="top"/>
          </w:tcPr>
          <w:p w14:paraId="704CCB8C">
            <w:pPr>
              <w:snapToGrid w:val="0"/>
              <w:spacing w:before="50" w:after="5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87860F2">
            <w:pPr>
              <w:snapToGrid w:val="0"/>
              <w:spacing w:before="50" w:after="5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骨修复材料</w:t>
            </w:r>
          </w:p>
        </w:tc>
        <w:tc>
          <w:tcPr>
            <w:tcW w:w="7854" w:type="dxa"/>
            <w:shd w:val="clear" w:color="auto" w:fill="auto"/>
            <w:noWrap/>
            <w:vAlign w:val="top"/>
          </w:tcPr>
          <w:p w14:paraId="6E7B4591">
            <w:pPr>
              <w:rPr>
                <w:rFonts w:hint="default"/>
                <w:b/>
                <w:bCs/>
                <w:lang w:val="en-US" w:eastAsia="zh-CN"/>
              </w:rPr>
            </w:pPr>
          </w:p>
          <w:p w14:paraId="6BA2E902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成分与参数：</w:t>
            </w:r>
            <w:r>
              <w:rPr>
                <w:rFonts w:hint="default"/>
                <w:lang w:val="en-US" w:eastAsia="zh-CN"/>
              </w:rPr>
              <w:t>核心成分为重组人骨形态发生蛋白 - 2（rhBMP-2），具备明确蛋白含量与生物活性，可诱导间充质细胞定向分化为成骨细胞，实现骨与软骨重建。</w:t>
            </w:r>
          </w:p>
          <w:p w14:paraId="051CF70A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适用范围：</w:t>
            </w:r>
            <w:r>
              <w:rPr>
                <w:rFonts w:hint="default"/>
                <w:lang w:val="en-US" w:eastAsia="zh-CN"/>
              </w:rPr>
              <w:t>适用于骨科骨缺损填充、骨不连 / 延迟愈合修复及骨折愈合障碍病例，尤其适配自体骨 rhBMP-2 缺乏导致的难愈合骨损伤。</w:t>
            </w:r>
          </w:p>
        </w:tc>
      </w:tr>
      <w:tr w14:paraId="43FD4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2029" w:type="dxa"/>
            <w:shd w:val="clear" w:color="auto" w:fill="auto"/>
            <w:noWrap/>
            <w:vAlign w:val="center"/>
          </w:tcPr>
          <w:p w14:paraId="1C1421F6">
            <w:pPr>
              <w:snapToGrid w:val="0"/>
              <w:spacing w:before="50" w:after="5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苏木素 - 伊红（HE）染色液</w:t>
            </w:r>
          </w:p>
        </w:tc>
        <w:tc>
          <w:tcPr>
            <w:tcW w:w="7854" w:type="dxa"/>
            <w:shd w:val="clear" w:color="auto" w:fill="auto"/>
            <w:noWrap/>
            <w:vAlign w:val="top"/>
          </w:tcPr>
          <w:p w14:paraId="72689726">
            <w:pPr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：用于人体组织石蜡切片、细胞涂片的常规病理 HE 染色，适配全自动染色机与手工染色操作。</w:t>
            </w:r>
          </w:p>
          <w:p w14:paraId="6BF45E7B">
            <w:pPr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染色性能：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细胞核染色清晰、核浆对比分明，无明显背景非特异性染色，批间效果一致性强。</w:t>
            </w:r>
          </w:p>
          <w:p w14:paraId="2B126D7A">
            <w:pP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25B02BCB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7DB66C5B">
      <w:pPr>
        <w:tabs>
          <w:tab w:val="left" w:pos="1378"/>
        </w:tabs>
        <w:jc w:val="left"/>
      </w:pPr>
    </w:p>
    <w:p w14:paraId="04A0122C">
      <w:pPr>
        <w:tabs>
          <w:tab w:val="left" w:pos="1378"/>
        </w:tabs>
        <w:jc w:val="left"/>
      </w:pPr>
    </w:p>
    <w:p w14:paraId="33D7562E">
      <w:pPr>
        <w:tabs>
          <w:tab w:val="left" w:pos="1378"/>
        </w:tabs>
        <w:jc w:val="left"/>
      </w:pPr>
    </w:p>
    <w:p w14:paraId="6F00E61E">
      <w:pPr>
        <w:tabs>
          <w:tab w:val="left" w:pos="1378"/>
        </w:tabs>
        <w:jc w:val="left"/>
      </w:pPr>
    </w:p>
    <w:p w14:paraId="409572CC">
      <w:pPr>
        <w:tabs>
          <w:tab w:val="left" w:pos="1378"/>
        </w:tabs>
        <w:jc w:val="left"/>
      </w:pPr>
    </w:p>
    <w:p w14:paraId="13350973">
      <w:pPr>
        <w:tabs>
          <w:tab w:val="left" w:pos="1378"/>
        </w:tabs>
        <w:jc w:val="left"/>
      </w:pPr>
    </w:p>
    <w:p w14:paraId="4D0D61ED">
      <w:pPr>
        <w:tabs>
          <w:tab w:val="left" w:pos="1378"/>
        </w:tabs>
        <w:jc w:val="left"/>
      </w:pPr>
    </w:p>
    <w:p w14:paraId="7D8BC695">
      <w:pPr>
        <w:tabs>
          <w:tab w:val="left" w:pos="1378"/>
        </w:tabs>
        <w:jc w:val="left"/>
      </w:pPr>
    </w:p>
    <w:p w14:paraId="2A9522BE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tbl>
      <w:tblPr>
        <w:tblStyle w:val="4"/>
        <w:tblW w:w="9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052"/>
        <w:gridCol w:w="825"/>
        <w:gridCol w:w="1215"/>
        <w:gridCol w:w="1095"/>
        <w:gridCol w:w="1065"/>
        <w:gridCol w:w="855"/>
        <w:gridCol w:w="1099"/>
      </w:tblGrid>
      <w:tr w14:paraId="1783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7454C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01EEC1F9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宁阳县第一人民医院耗材采购报价表</w:t>
            </w:r>
          </w:p>
          <w:p w14:paraId="799F7BD5">
            <w:pPr>
              <w:widowControl/>
              <w:snapToGrid w:val="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51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EDA86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耗材名称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B8045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6812FD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E358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8C0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937C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医保编码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5AB7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挂网价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F41F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本次报价</w:t>
            </w:r>
          </w:p>
        </w:tc>
      </w:tr>
      <w:tr w14:paraId="25A38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1B113CE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一次性射频等离子手术电极</w:t>
            </w:r>
          </w:p>
          <w:p w14:paraId="2307F59E">
            <w:pPr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8777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D8D7F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0F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4FA9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5DBF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E3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F270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4B1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5122FE1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一次性使用神经阻滞穿刺针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4258">
            <w:pPr>
              <w:widowControl/>
              <w:snapToGrid w:val="0"/>
              <w:jc w:val="both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570D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979C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2147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E51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90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99E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F5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E97D58C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骨修复材料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0C386">
            <w:pPr>
              <w:widowControl/>
              <w:snapToGrid w:val="0"/>
              <w:jc w:val="both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4575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4EF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9AF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2EF3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75D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565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77F3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BF9488E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苏木素 - 伊红（HE）染色液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ABCA">
            <w:pPr>
              <w:widowControl/>
              <w:snapToGrid w:val="0"/>
              <w:jc w:val="both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4B51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4FDA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B5EA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55C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40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A9B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E87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BCCFD20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65F24">
            <w:pPr>
              <w:widowControl/>
              <w:snapToGrid w:val="0"/>
              <w:jc w:val="both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06E7">
            <w:pPr>
              <w:widowControl/>
              <w:snapToGrid w:val="0"/>
              <w:jc w:val="left"/>
              <w:textAlignment w:val="bottom"/>
              <w:rPr>
                <w:rFonts w:hint="default" w:ascii="宋体" w:hAnsi="宋体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67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695B5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01D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E5F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A76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4AFCAF3D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E0E07"/>
    <w:rsid w:val="00A92A1C"/>
    <w:rsid w:val="00AE2283"/>
    <w:rsid w:val="00B250B4"/>
    <w:rsid w:val="00BD24C3"/>
    <w:rsid w:val="00C30771"/>
    <w:rsid w:val="00C86498"/>
    <w:rsid w:val="00C960EC"/>
    <w:rsid w:val="00CE2B53"/>
    <w:rsid w:val="00E11B43"/>
    <w:rsid w:val="00E75275"/>
    <w:rsid w:val="00E84730"/>
    <w:rsid w:val="00ED5667"/>
    <w:rsid w:val="027D2D3A"/>
    <w:rsid w:val="06F66564"/>
    <w:rsid w:val="08716E9D"/>
    <w:rsid w:val="09061CDB"/>
    <w:rsid w:val="0A3C4EDA"/>
    <w:rsid w:val="0AA07F0D"/>
    <w:rsid w:val="0BBB3E90"/>
    <w:rsid w:val="0C637445"/>
    <w:rsid w:val="0C653AD5"/>
    <w:rsid w:val="0DBC2EB5"/>
    <w:rsid w:val="0E6574A4"/>
    <w:rsid w:val="0F0F7410"/>
    <w:rsid w:val="0FBD50BE"/>
    <w:rsid w:val="0FD4114B"/>
    <w:rsid w:val="103224FF"/>
    <w:rsid w:val="13AE5449"/>
    <w:rsid w:val="142741A0"/>
    <w:rsid w:val="15C90318"/>
    <w:rsid w:val="17BE19D3"/>
    <w:rsid w:val="19AA220F"/>
    <w:rsid w:val="19E21500"/>
    <w:rsid w:val="1A023DF9"/>
    <w:rsid w:val="1A846F04"/>
    <w:rsid w:val="1AF000F5"/>
    <w:rsid w:val="1CB17D58"/>
    <w:rsid w:val="1E05035C"/>
    <w:rsid w:val="1F617814"/>
    <w:rsid w:val="22CF718A"/>
    <w:rsid w:val="23810484"/>
    <w:rsid w:val="26527EB6"/>
    <w:rsid w:val="2A6B1335"/>
    <w:rsid w:val="2B487ADA"/>
    <w:rsid w:val="2D430559"/>
    <w:rsid w:val="2DBB27E5"/>
    <w:rsid w:val="2EF44200"/>
    <w:rsid w:val="2FA379D4"/>
    <w:rsid w:val="32537490"/>
    <w:rsid w:val="351F3F9D"/>
    <w:rsid w:val="385308F6"/>
    <w:rsid w:val="38926838"/>
    <w:rsid w:val="3AC3717D"/>
    <w:rsid w:val="3C096E11"/>
    <w:rsid w:val="3D073351"/>
    <w:rsid w:val="3EF142B8"/>
    <w:rsid w:val="3F6A406B"/>
    <w:rsid w:val="3F967024"/>
    <w:rsid w:val="40E43F34"/>
    <w:rsid w:val="41646408"/>
    <w:rsid w:val="438C05CB"/>
    <w:rsid w:val="45294080"/>
    <w:rsid w:val="460C5E7C"/>
    <w:rsid w:val="46803E3B"/>
    <w:rsid w:val="47253F6A"/>
    <w:rsid w:val="472B40E0"/>
    <w:rsid w:val="48B36B28"/>
    <w:rsid w:val="49E8450A"/>
    <w:rsid w:val="4A673681"/>
    <w:rsid w:val="4AB740A8"/>
    <w:rsid w:val="4DE56B5B"/>
    <w:rsid w:val="4E741D89"/>
    <w:rsid w:val="4F2C4E99"/>
    <w:rsid w:val="4FF754A7"/>
    <w:rsid w:val="52097713"/>
    <w:rsid w:val="52344548"/>
    <w:rsid w:val="532E5683"/>
    <w:rsid w:val="548F2152"/>
    <w:rsid w:val="56861332"/>
    <w:rsid w:val="59684D1F"/>
    <w:rsid w:val="59CF2A46"/>
    <w:rsid w:val="5A380B96"/>
    <w:rsid w:val="5A420BD3"/>
    <w:rsid w:val="5A582FE6"/>
    <w:rsid w:val="5AD14B46"/>
    <w:rsid w:val="5C180C7F"/>
    <w:rsid w:val="5DCE6D0F"/>
    <w:rsid w:val="5F950838"/>
    <w:rsid w:val="61BA4586"/>
    <w:rsid w:val="61FC694D"/>
    <w:rsid w:val="62F6339C"/>
    <w:rsid w:val="636F0861"/>
    <w:rsid w:val="64801BB2"/>
    <w:rsid w:val="690A5DF3"/>
    <w:rsid w:val="69313380"/>
    <w:rsid w:val="6AED777A"/>
    <w:rsid w:val="6C383234"/>
    <w:rsid w:val="71C068BF"/>
    <w:rsid w:val="730E028E"/>
    <w:rsid w:val="73BD67E5"/>
    <w:rsid w:val="73BF2329"/>
    <w:rsid w:val="782E6183"/>
    <w:rsid w:val="7A432F13"/>
    <w:rsid w:val="7A4E40BC"/>
    <w:rsid w:val="7B0B6F7E"/>
    <w:rsid w:val="7B5D6256"/>
    <w:rsid w:val="7C3F595C"/>
    <w:rsid w:val="7CCC5441"/>
    <w:rsid w:val="7D2A03BA"/>
    <w:rsid w:val="7D4A280A"/>
    <w:rsid w:val="7DBA25B4"/>
    <w:rsid w:val="7FE33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671</Words>
  <Characters>718</Characters>
  <Lines>9</Lines>
  <Paragraphs>2</Paragraphs>
  <TotalTime>8</TotalTime>
  <ScaleCrop>false</ScaleCrop>
  <LinksUpToDate>false</LinksUpToDate>
  <CharactersWithSpaces>745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2026-05-06T00:26:45Z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EEF15EEA0C6A479EB2967D32DF417384_13</vt:lpwstr>
  </property>
</Properties>
</file>